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A687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8A57503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2E86EA8E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08E103BC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3B58F4FA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5EBADEB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41FE8EF6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5DBF3899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0BEB3F7E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5AEF8C8E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32EFFDE0" w14:textId="77777777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</w:p>
    <w:p w14:paraId="3BEB4F7E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4D557BC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637B37F2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091E1BE7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6321305A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B48D8D2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4B2A7E4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4DF80C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D5B95C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8CC99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D1E230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831E15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C9D8EF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821F20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1F0EB7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285E9B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664791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78605C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B98736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28FA3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B9000BA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E78CCAB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4B50819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6A87F337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7C8A66C2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64952240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484FE22B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3BA45B32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2B4B6342" w14:textId="77777777" w:rsidR="00551160" w:rsidRDefault="00551160">
      <w:pPr>
        <w:rPr>
          <w:rFonts w:ascii="Arial" w:hAnsi="Arial" w:cs="Arial"/>
        </w:rPr>
      </w:pPr>
    </w:p>
    <w:p w14:paraId="062BA981" w14:textId="77777777" w:rsidR="009B10F7" w:rsidRDefault="009B10F7">
      <w:pPr>
        <w:rPr>
          <w:rFonts w:ascii="Arial" w:hAnsi="Arial" w:cs="Arial"/>
        </w:rPr>
      </w:pPr>
    </w:p>
    <w:p w14:paraId="54127B20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A5C7B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8ABD1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5A79D52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B9B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6F585F9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96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396621B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6B3E922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058525A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F0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7F9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03247B4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68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2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539FAE3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DE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AA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4FBF750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64A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D56C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22F7E3A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9B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0D5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70B4BAD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40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ED3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0C13A56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41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3D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4241F73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AF7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729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17D21A96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75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5D33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62635573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3142DE1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EF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072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7A4C1CB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8A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A4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69FF181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430D5D12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98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0473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20A3B2C1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17BC605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5E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Robocza Baza 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5B02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zgodnie z definicją określoną w rozporządzeniu w sprawie</w:t>
            </w:r>
          </w:p>
          <w:p w14:paraId="1BE41859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standardów  odpowiadająca  zakresem  treści  przedmiotowi  pracy</w:t>
            </w:r>
          </w:p>
          <w:p w14:paraId="1886BFCA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478575E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2F5A572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472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1ABB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28F44D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E14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777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6E7C1310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3F44090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E2A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F9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6AB51265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39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2BF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252E467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61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C62F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54859EE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021AC82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F7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35B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587DBCC3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ABF65F2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4BB6F557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4EEF12F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1DA7651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39DE65CC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bazy danych obiektów topograficznych o szczegółowości zapewniającej tworzenie standardowych opracowań kartograficznych  w skalach 1:500 – 1:5000 - BDOT500, o której mowa w art. 4 ust. </w:t>
      </w:r>
      <w:r w:rsidR="00001F0C">
        <w:rPr>
          <w:rFonts w:ascii="Arial" w:hAnsi="Arial" w:cs="Arial"/>
          <w:sz w:val="22"/>
          <w:szCs w:val="22"/>
        </w:rPr>
        <w:t>1a pkt.12</w:t>
      </w:r>
      <w:r w:rsidRPr="002D2B9D">
        <w:rPr>
          <w:rFonts w:ascii="Arial" w:hAnsi="Arial" w:cs="Arial"/>
          <w:sz w:val="22"/>
          <w:szCs w:val="22"/>
        </w:rPr>
        <w:t xml:space="preserve"> ustawy</w:t>
      </w:r>
      <w:r w:rsidR="00001F0C">
        <w:rPr>
          <w:rFonts w:ascii="Arial" w:hAnsi="Arial" w:cs="Arial"/>
          <w:sz w:val="22"/>
          <w:szCs w:val="22"/>
        </w:rPr>
        <w:t xml:space="preserve"> </w:t>
      </w:r>
      <w:r w:rsidRPr="002D2B9D">
        <w:rPr>
          <w:rFonts w:ascii="Arial" w:hAnsi="Arial" w:cs="Arial"/>
          <w:sz w:val="22"/>
          <w:szCs w:val="22"/>
        </w:rPr>
        <w:t>;</w:t>
      </w:r>
    </w:p>
    <w:p w14:paraId="23F4044D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6355B27F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69AD98A3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43C591A3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0D70EDB0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405B39C0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6C3592A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lastRenderedPageBreak/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0F404EA4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115ADC4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27B7F6E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788707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28501A18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2405C46A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0C4CEB1B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7DE4210E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12 kwietnia 2012 r. w sprawie Krajowych Ram Interoperacyjności, minimalnych wymagań dla rejestrów publicznych i wymiany</w:t>
      </w:r>
      <w:r w:rsidR="00D10915">
        <w:rPr>
          <w:rFonts w:ascii="Arial" w:hAnsi="Arial" w:cs="Arial"/>
        </w:rPr>
        <w:t xml:space="preserve"> </w:t>
      </w:r>
      <w:r w:rsidRPr="002D2B9D">
        <w:rPr>
          <w:rFonts w:ascii="Arial" w:hAnsi="Arial" w:cs="Arial"/>
        </w:rPr>
        <w:t>informacji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33D5036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0DF08739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5F805266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58E5F1D6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087B9655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0842EA76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0A297176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72F25F01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5733B0D5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7513C4CD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271DC1E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35163740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30526F9D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59099F2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776ED6CA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72330994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2B0358E5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3A7612D9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5EBDD78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34019DC6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3D0E7EF6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70296886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9BCF9E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1778D2D1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13C5D7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53DB5BC7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215CB331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C5326BB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1D01BC29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669C3DD8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12FD7637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0ACE14B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234BAE6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96E42B7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0602412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F89FA0A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niezbędne do realizacji przedmiotu zamówienia</w:t>
      </w:r>
      <w:r w:rsidR="004D3A9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4D3A97">
        <w:rPr>
          <w:rFonts w:ascii="Arial" w:hAnsi="Arial" w:cs="Arial"/>
          <w:color w:val="auto"/>
          <w:sz w:val="22"/>
          <w:szCs w:val="22"/>
        </w:rPr>
        <w:t xml:space="preserve">w formie elektronicznej (pliki PDF)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na okres </w:t>
      </w:r>
      <w:r w:rsidR="00D61DA5">
        <w:rPr>
          <w:rFonts w:ascii="Arial" w:hAnsi="Arial" w:cs="Arial"/>
          <w:color w:val="auto"/>
          <w:sz w:val="22"/>
          <w:szCs w:val="22"/>
        </w:rPr>
        <w:t xml:space="preserve">obowiązywania umowy 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0B4A240F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lastRenderedPageBreak/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3655FF6F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1C3510B4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ACE98E4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22CC31F4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0EA5304A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471B3390" w14:textId="77777777" w:rsidTr="002D10C6">
        <w:tc>
          <w:tcPr>
            <w:tcW w:w="567" w:type="dxa"/>
          </w:tcPr>
          <w:p w14:paraId="723A47C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40E035F2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7482559C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7A2EA11F" w14:textId="77777777" w:rsidTr="002D10C6">
        <w:tc>
          <w:tcPr>
            <w:tcW w:w="567" w:type="dxa"/>
          </w:tcPr>
          <w:p w14:paraId="7995F8B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4A4A3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DCAE6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F1B46D6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95A08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 xml:space="preserve">sokościowych oraz </w:t>
            </w:r>
            <w:proofErr w:type="spellStart"/>
            <w:r w:rsidR="00076B9B" w:rsidRPr="00AA6495">
              <w:rPr>
                <w:rFonts w:ascii="Arial" w:hAnsi="Arial" w:cs="Arial"/>
                <w:sz w:val="20"/>
                <w:szCs w:val="20"/>
              </w:rPr>
              <w:t>opracowywania</w:t>
            </w:r>
            <w:r w:rsidRPr="00AA649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2E7FBA0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5105F3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2144BB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675670B4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562BCF18" w14:textId="77777777" w:rsidTr="002D10C6">
        <w:tc>
          <w:tcPr>
            <w:tcW w:w="567" w:type="dxa"/>
          </w:tcPr>
          <w:p w14:paraId="69E82C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002FA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0C48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66F044FC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35E80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D1E00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1094ED7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C66FE05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Digitalizacja ekranowa mapy zasadniczej lub innych map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wielkoskalowych,w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przypadku gdy mapa ta prowadzona jest w postaci nieelektronicznej.</w:t>
            </w:r>
          </w:p>
        </w:tc>
      </w:tr>
    </w:tbl>
    <w:p w14:paraId="69B4BE48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F4C5F1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A9D12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7148924E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0821A137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0D327D98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6508F60D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23D435A7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1F1B14D9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6CFB7FC1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0760EE6D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2CA780E0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107CA7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2EF472C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008A13D8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4C27E311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313ED35A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523EF045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53947955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01FF8BCC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43A2C363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562E823C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51471D66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303FB795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1772ADB1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257E1B9F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71F65EB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139C053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6381097D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6855D993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4088BC16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58A4701B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376DAD07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0593AAA1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0D05A81A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2D0E971B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23C7C05A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412AF27E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7A5B5A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1B366E09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122802C0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23FE2B10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68C6B7D6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2A878155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2B7965A2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6B3CC3D4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15317CE7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26915827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30EF866B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70047DD3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75C0860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20BA4D7A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263B0BE0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42435FF3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2DC4C35F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7087E209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27F75AE6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5766E51F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2170BF9D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73AC58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59A7A2A7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0F17D615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207CAF4F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A5E2EB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3A32BAC2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4733789F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1CA744EE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580C17C8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62F92BC5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0C1115C9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067D851B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1868226B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6DFD32E4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259654BC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133D662C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35857077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5B384DD6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1A0EE4F5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8725927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5D31850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6E58AB86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5AB91430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09484D7B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5D12B92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3481493F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EE3BB1E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618E67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2F3137FB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0E3D727A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665D6113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2761FCEE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753106E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74E3DBCF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64747E12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64156BB4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24D1B933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1CBAA715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3FA88408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EDDF19C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638ACB2E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5EA197EC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784E2E5E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6A55D318" w14:textId="77777777" w:rsidR="00D36B39" w:rsidRPr="00E73D52" w:rsidRDefault="009F1D5C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901ECD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8FA8B92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lastRenderedPageBreak/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2EC92580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5B06195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A9C9947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34B0EDEB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02A421E6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53ED58EF" w14:textId="77777777" w:rsidTr="006829D0">
        <w:tc>
          <w:tcPr>
            <w:tcW w:w="1226" w:type="dxa"/>
          </w:tcPr>
          <w:p w14:paraId="6DB519A4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5A56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8C78F3B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6ACE74FE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14B6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600634E6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850E4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4AB425E6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7C1ED80B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328F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5849A6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790E5A0A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131D6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6101B07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18DC8BC5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5FEACEAB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4E07689C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0D45177F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3090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F9F0E1E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5591557D" w14:textId="77777777" w:rsidTr="006829D0">
        <w:tc>
          <w:tcPr>
            <w:tcW w:w="1226" w:type="dxa"/>
          </w:tcPr>
          <w:p w14:paraId="53799FF7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7BFAAA15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5A5BE249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1204F1B3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62B91812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71DD65A5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438981A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0D3F3345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E8481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84E29AB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69A17908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72AD281B" w14:textId="77777777" w:rsidR="00055A7F" w:rsidRPr="009F1D5C" w:rsidRDefault="00055A7F" w:rsidP="00F771B5">
      <w:pPr>
        <w:pStyle w:val="Bezodstpw"/>
      </w:pPr>
    </w:p>
    <w:p w14:paraId="77E88BD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F49B702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39FEA3F7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78E50535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0505B13A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466CB1F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52F558C1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295ACB24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1B2FF48E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19C5A236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DECB50D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0CEA9FD9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2002FF6E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2E0DF042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67C6F0E3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użytków gruntowych na warstwach tekstowych i liniowych</w:t>
      </w:r>
    </w:p>
    <w:p w14:paraId="5614174B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5BCE887D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1D5700FF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2DCE0B75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9A52A8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3F61D7FD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27A7E066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6E587A93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53634B38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234979E3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54D5CB6F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28EA5697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41089C99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026C66D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3B1DDA3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29906B0B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246751A6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2AB4202D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5B433424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3C342218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370CC477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7FD9E996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E30FF5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52E81C92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2D9CDC77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75C28962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431D71B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5BA0F9F5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49A222D7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6C1F6F17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0CF5AF28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484D574A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5A1A8FD7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</w:t>
      </w:r>
      <w:r w:rsidRPr="00DC18F3">
        <w:rPr>
          <w:rFonts w:ascii="Arial" w:hAnsi="Arial" w:cs="Arial"/>
        </w:rPr>
        <w:lastRenderedPageBreak/>
        <w:t xml:space="preserve">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480D22C4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3AFB961D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60BAB95D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76661506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45418B21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7E8345E1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0D1CC13A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232D848C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2442A45C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BA82B6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6D96AB71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83C0CC1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42C227F2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2D8354F8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225F70B5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42739596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673E806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 przypadkach braku możliwości usunięcia rozbieżności należy opracować zestawienie rozbieżności . </w:t>
      </w:r>
    </w:p>
    <w:p w14:paraId="63D17C69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769EA56D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3F3D4C45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2DA3CEB5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003DAED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5969A468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44D50100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3A942F59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61E934B5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4A97F99E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434FF186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6CF17453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06087B68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E7303F3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6D6B3979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4588B9A3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29468499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1159A805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378F7167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14FE4EFE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7B292031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73C4E14C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63041738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>kopie dokumentów pozyskanych przez Wykonawcę od osób trzecich i wykorzystanych do realizacji przedmiotu zamówienia</w:t>
      </w:r>
    </w:p>
    <w:p w14:paraId="2EFBADDD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inne dokumenty wymienione w OPZ.</w:t>
      </w:r>
    </w:p>
    <w:p w14:paraId="0849CE0E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1272AF9A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54C7697B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012678EA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3BF96BB2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6AA55877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643FB980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7BBC4F65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023EC51D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6560" w14:textId="77777777" w:rsidR="00D65EDF" w:rsidRDefault="00D65EDF" w:rsidP="004632B1">
      <w:pPr>
        <w:spacing w:after="0" w:line="240" w:lineRule="auto"/>
      </w:pPr>
      <w:r>
        <w:separator/>
      </w:r>
    </w:p>
  </w:endnote>
  <w:endnote w:type="continuationSeparator" w:id="0">
    <w:p w14:paraId="05D217E0" w14:textId="77777777" w:rsidR="00D65EDF" w:rsidRDefault="00D65EDF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A354" w14:textId="77777777" w:rsidR="00D65EDF" w:rsidRDefault="00D65EDF" w:rsidP="004632B1">
      <w:pPr>
        <w:spacing w:after="0" w:line="240" w:lineRule="auto"/>
      </w:pPr>
      <w:r>
        <w:separator/>
      </w:r>
    </w:p>
  </w:footnote>
  <w:footnote w:type="continuationSeparator" w:id="0">
    <w:p w14:paraId="30C72D3D" w14:textId="77777777" w:rsidR="00D65EDF" w:rsidRDefault="00D65EDF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E587" w14:textId="77777777" w:rsidR="00B325AB" w:rsidRPr="00A359A5" w:rsidRDefault="00B325AB" w:rsidP="00B325AB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4 </w:t>
    </w:r>
  </w:p>
  <w:p w14:paraId="75F74B33" w14:textId="77777777" w:rsidR="00B325AB" w:rsidRPr="000833B2" w:rsidRDefault="00B325AB" w:rsidP="00B325AB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A359A5">
      <w:rPr>
        <w:rFonts w:asciiTheme="majorHAnsi" w:hAnsiTheme="majorHAnsi" w:cstheme="majorHAnsi"/>
        <w:i/>
        <w:iCs/>
        <w:sz w:val="18"/>
        <w:szCs w:val="18"/>
      </w:rPr>
      <w:t xml:space="preserve">do </w:t>
    </w:r>
    <w:r w:rsidRPr="000833B2">
      <w:rPr>
        <w:rFonts w:asciiTheme="majorHAnsi" w:hAnsiTheme="majorHAnsi" w:cstheme="majorHAnsi"/>
        <w:i/>
        <w:iCs/>
        <w:sz w:val="18"/>
        <w:szCs w:val="18"/>
      </w:rPr>
      <w:t>zamówienia 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2B0CD798" w14:textId="77777777" w:rsidR="00B325AB" w:rsidRDefault="00B325AB" w:rsidP="00B325AB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 </w:t>
    </w:r>
    <w:r>
      <w:rPr>
        <w:rFonts w:ascii="Arial" w:hAnsi="Arial" w:cs="Arial"/>
        <w:i/>
        <w:iCs/>
        <w:sz w:val="18"/>
        <w:szCs w:val="18"/>
      </w:rPr>
      <w:t>III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  <w:p w14:paraId="26B7A3A2" w14:textId="77777777" w:rsidR="00B325AB" w:rsidRDefault="00B325AB" w:rsidP="00B325AB">
    <w:pPr>
      <w:widowControl w:val="0"/>
      <w:autoSpaceDE w:val="0"/>
      <w:autoSpaceDN w:val="0"/>
      <w:adjustRightInd w:val="0"/>
      <w:jc w:val="right"/>
    </w:pPr>
    <w:r w:rsidRPr="00FF3063">
      <w:rPr>
        <w:i/>
        <w:iCs/>
        <w:color w:val="000000"/>
        <w:sz w:val="18"/>
        <w:szCs w:val="18"/>
      </w:rPr>
      <w:t>Numer sprawy: PiPR.IV.272.</w:t>
    </w:r>
    <w:r>
      <w:rPr>
        <w:i/>
        <w:iCs/>
        <w:color w:val="000000"/>
        <w:sz w:val="18"/>
        <w:szCs w:val="18"/>
      </w:rPr>
      <w:t>8</w:t>
    </w:r>
    <w:r w:rsidRPr="00FF3063">
      <w:rPr>
        <w:i/>
        <w:iCs/>
        <w:color w:val="000000"/>
        <w:sz w:val="18"/>
        <w:szCs w:val="18"/>
      </w:rPr>
      <w:t>.2022</w:t>
    </w:r>
  </w:p>
  <w:p w14:paraId="01502838" w14:textId="77777777" w:rsidR="00F904B1" w:rsidRPr="004632B1" w:rsidRDefault="00F904B1" w:rsidP="004632B1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</w:rPr>
    </w:pPr>
  </w:p>
  <w:p w14:paraId="7B23AF40" w14:textId="77777777" w:rsidR="00F904B1" w:rsidRDefault="00F90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26030">
    <w:abstractNumId w:val="32"/>
  </w:num>
  <w:num w:numId="2" w16cid:durableId="1825465362">
    <w:abstractNumId w:val="24"/>
  </w:num>
  <w:num w:numId="3" w16cid:durableId="834615128">
    <w:abstractNumId w:val="29"/>
  </w:num>
  <w:num w:numId="4" w16cid:durableId="536701281">
    <w:abstractNumId w:val="21"/>
  </w:num>
  <w:num w:numId="5" w16cid:durableId="1362129659">
    <w:abstractNumId w:val="15"/>
  </w:num>
  <w:num w:numId="6" w16cid:durableId="1811943142">
    <w:abstractNumId w:val="7"/>
  </w:num>
  <w:num w:numId="7" w16cid:durableId="181556077">
    <w:abstractNumId w:val="25"/>
  </w:num>
  <w:num w:numId="8" w16cid:durableId="627668011">
    <w:abstractNumId w:val="38"/>
  </w:num>
  <w:num w:numId="9" w16cid:durableId="392703300">
    <w:abstractNumId w:val="40"/>
  </w:num>
  <w:num w:numId="10" w16cid:durableId="1197353292">
    <w:abstractNumId w:val="39"/>
  </w:num>
  <w:num w:numId="11" w16cid:durableId="289628907">
    <w:abstractNumId w:val="31"/>
  </w:num>
  <w:num w:numId="12" w16cid:durableId="233467678">
    <w:abstractNumId w:val="10"/>
  </w:num>
  <w:num w:numId="13" w16cid:durableId="914978107">
    <w:abstractNumId w:val="18"/>
  </w:num>
  <w:num w:numId="14" w16cid:durableId="162360180">
    <w:abstractNumId w:val="35"/>
  </w:num>
  <w:num w:numId="15" w16cid:durableId="713774557">
    <w:abstractNumId w:val="34"/>
  </w:num>
  <w:num w:numId="16" w16cid:durableId="1557398769">
    <w:abstractNumId w:val="13"/>
  </w:num>
  <w:num w:numId="17" w16cid:durableId="76246436">
    <w:abstractNumId w:val="27"/>
  </w:num>
  <w:num w:numId="18" w16cid:durableId="140050777">
    <w:abstractNumId w:val="11"/>
  </w:num>
  <w:num w:numId="19" w16cid:durableId="1271399655">
    <w:abstractNumId w:val="3"/>
  </w:num>
  <w:num w:numId="20" w16cid:durableId="905989143">
    <w:abstractNumId w:val="28"/>
  </w:num>
  <w:num w:numId="21" w16cid:durableId="1212814660">
    <w:abstractNumId w:val="16"/>
  </w:num>
  <w:num w:numId="22" w16cid:durableId="1620064572">
    <w:abstractNumId w:val="2"/>
  </w:num>
  <w:num w:numId="23" w16cid:durableId="360742009">
    <w:abstractNumId w:val="22"/>
  </w:num>
  <w:num w:numId="24" w16cid:durableId="773789074">
    <w:abstractNumId w:val="23"/>
  </w:num>
  <w:num w:numId="25" w16cid:durableId="1304698822">
    <w:abstractNumId w:val="19"/>
  </w:num>
  <w:num w:numId="26" w16cid:durableId="2048094607">
    <w:abstractNumId w:val="30"/>
  </w:num>
  <w:num w:numId="27" w16cid:durableId="1611859798">
    <w:abstractNumId w:val="33"/>
  </w:num>
  <w:num w:numId="28" w16cid:durableId="1604413310">
    <w:abstractNumId w:val="5"/>
  </w:num>
  <w:num w:numId="29" w16cid:durableId="284896851">
    <w:abstractNumId w:val="36"/>
  </w:num>
  <w:num w:numId="30" w16cid:durableId="358438029">
    <w:abstractNumId w:val="17"/>
  </w:num>
  <w:num w:numId="31" w16cid:durableId="1013609610">
    <w:abstractNumId w:val="6"/>
  </w:num>
  <w:num w:numId="32" w16cid:durableId="1228228262">
    <w:abstractNumId w:val="0"/>
  </w:num>
  <w:num w:numId="33" w16cid:durableId="1408502170">
    <w:abstractNumId w:val="20"/>
  </w:num>
  <w:num w:numId="34" w16cid:durableId="2016373362">
    <w:abstractNumId w:val="8"/>
  </w:num>
  <w:num w:numId="35" w16cid:durableId="455952874">
    <w:abstractNumId w:val="37"/>
  </w:num>
  <w:num w:numId="36" w16cid:durableId="983312791">
    <w:abstractNumId w:val="9"/>
  </w:num>
  <w:num w:numId="37" w16cid:durableId="1327633855">
    <w:abstractNumId w:val="14"/>
  </w:num>
  <w:num w:numId="38" w16cid:durableId="1633633255">
    <w:abstractNumId w:val="26"/>
  </w:num>
  <w:num w:numId="39" w16cid:durableId="1434745504">
    <w:abstractNumId w:val="4"/>
  </w:num>
  <w:num w:numId="40" w16cid:durableId="2101103900">
    <w:abstractNumId w:val="1"/>
  </w:num>
  <w:num w:numId="41" w16cid:durableId="122559964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1F0C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D3A9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D072A"/>
    <w:rsid w:val="008D2CC7"/>
    <w:rsid w:val="008E0140"/>
    <w:rsid w:val="008F2DFC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25AB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3767A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0915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61DA5"/>
    <w:rsid w:val="00D65EDF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EF4FA8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04852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EC97-902A-42B8-B00C-17089062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5948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2022-09-16T12:06:00Z</dcterms:created>
  <dcterms:modified xsi:type="dcterms:W3CDTF">2022-09-16T12:06:00Z</dcterms:modified>
</cp:coreProperties>
</file>